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AB1A3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 xml:space="preserve">Spring Valley Lake </w:t>
      </w:r>
    </w:p>
    <w:p w:rsidR="00AB1A3D" w:rsidRDefault="00AB1A3D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AB1A3D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AB1A3D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AB1A3D" w:rsidRDefault="00AB1A3D">
      <w:pPr>
        <w:rPr>
          <w:rFonts w:ascii="Californian FB" w:hAnsi="Californian FB"/>
          <w:b/>
          <w:sz w:val="40"/>
          <w:szCs w:val="40"/>
        </w:rPr>
      </w:pPr>
    </w:p>
    <w:p w:rsidR="00AB1A3D" w:rsidRPr="00AB1A3D" w:rsidRDefault="00AB1A3D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93C1A73" wp14:editId="40EEB171">
            <wp:extent cx="9182100" cy="5905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B1A3D" w:rsidRPr="00AB1A3D" w:rsidSect="00AB1A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3D"/>
    <w:rsid w:val="00206930"/>
    <w:rsid w:val="003367B5"/>
    <w:rsid w:val="00A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0008E-9F19-4B9D-9813-3268EBF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i="1">
                <a:latin typeface="Californian FB" panose="0207040306080B030204" pitchFamily="18" charset="0"/>
              </a:rPr>
              <a:t>130</a:t>
            </a:r>
            <a:r>
              <a:rPr lang="en-US" sz="1600" i="1" baseline="0">
                <a:latin typeface="Californian FB" panose="0207040306080B030204" pitchFamily="18" charset="0"/>
              </a:rPr>
              <a:t> Homes Sold</a:t>
            </a:r>
            <a:endParaRPr lang="en-US" sz="1600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16</c:v>
                </c:pt>
                <c:pt idx="5">
                  <c:v>27</c:v>
                </c:pt>
                <c:pt idx="6">
                  <c:v>19</c:v>
                </c:pt>
                <c:pt idx="7">
                  <c:v>17</c:v>
                </c:pt>
                <c:pt idx="8">
                  <c:v>12</c:v>
                </c:pt>
                <c:pt idx="9">
                  <c:v>7</c:v>
                </c:pt>
                <c:pt idx="10">
                  <c:v>12</c:v>
                </c:pt>
                <c:pt idx="11">
                  <c:v>5</c:v>
                </c:pt>
                <c:pt idx="12">
                  <c:v>2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7469528"/>
        <c:axId val="347469920"/>
        <c:axId val="0"/>
      </c:bar3DChart>
      <c:catAx>
        <c:axId val="347469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469920"/>
        <c:crosses val="autoZero"/>
        <c:auto val="1"/>
        <c:lblAlgn val="ctr"/>
        <c:lblOffset val="100"/>
        <c:noMultiLvlLbl val="0"/>
      </c:catAx>
      <c:valAx>
        <c:axId val="347469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7469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0.16079</cdr:x>
      <cdr:y>0.13065</cdr:y>
    </cdr:from>
    <cdr:to>
      <cdr:x>0.54253</cdr:x>
      <cdr:y>0.17581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71525"/>
          <a:ext cx="3505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3,176 </a:t>
          </a:r>
          <a:r>
            <a:rPr lang="en-US" sz="1100" i="1" baseline="0"/>
            <a:t>- Average Year Built </a:t>
          </a:r>
          <a:r>
            <a:rPr lang="en-US" sz="1100" b="1" i="1" baseline="0"/>
            <a:t>1987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0.19516</cdr:y>
    </cdr:from>
    <cdr:to>
      <cdr:x>0.54253</cdr:x>
      <cdr:y>0.2371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52525"/>
          <a:ext cx="35052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2,642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1997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0.25645</cdr:y>
    </cdr:from>
    <cdr:to>
      <cdr:x>0.4917</cdr:x>
      <cdr:y>0.30161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14475"/>
          <a:ext cx="30384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3,353 </a:t>
          </a:r>
          <a:r>
            <a:rPr lang="en-US" sz="1100" i="1"/>
            <a:t>- Average Year Built </a:t>
          </a:r>
          <a:r>
            <a:rPr lang="en-US" sz="1100" b="1" i="1"/>
            <a:t>1997</a:t>
          </a:r>
        </a:p>
      </cdr:txBody>
    </cdr:sp>
  </cdr:relSizeAnchor>
  <cdr:relSizeAnchor xmlns:cdr="http://schemas.openxmlformats.org/drawingml/2006/chartDrawing">
    <cdr:from>
      <cdr:x>0.16079</cdr:x>
      <cdr:y>0.31774</cdr:y>
    </cdr:from>
    <cdr:to>
      <cdr:x>0.51037</cdr:x>
      <cdr:y>0.36129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76425"/>
          <a:ext cx="3209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2,905</a:t>
          </a:r>
          <a:r>
            <a:rPr lang="en-US" sz="1100" i="1"/>
            <a:t> - Average Year Built</a:t>
          </a:r>
          <a:r>
            <a:rPr lang="en-US" sz="1100" i="1" baseline="0"/>
            <a:t> </a:t>
          </a:r>
          <a:r>
            <a:rPr lang="en-US" sz="1100" b="1" i="1" baseline="0"/>
            <a:t>1992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0.38065</cdr:y>
    </cdr:from>
    <cdr:to>
      <cdr:x>0.51452</cdr:x>
      <cdr:y>0.42581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47900"/>
          <a:ext cx="3248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2,529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1988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0.44355</cdr:y>
    </cdr:from>
    <cdr:to>
      <cdr:x>0.49793</cdr:x>
      <cdr:y>0.48548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19375"/>
          <a:ext cx="3095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2,253</a:t>
          </a:r>
          <a:r>
            <a:rPr lang="en-US" sz="1100" i="1" baseline="0"/>
            <a:t> - Average Year Built </a:t>
          </a:r>
          <a:r>
            <a:rPr lang="en-US" sz="1100" b="1" i="1" baseline="0"/>
            <a:t>1992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0.50645</cdr:y>
    </cdr:from>
    <cdr:to>
      <cdr:x>0.49066</cdr:x>
      <cdr:y>0.54677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90850"/>
          <a:ext cx="3028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2,441 </a:t>
          </a:r>
          <a:r>
            <a:rPr lang="en-US" sz="1100" i="1" baseline="0"/>
            <a:t>- Average Year Built </a:t>
          </a:r>
          <a:r>
            <a:rPr lang="en-US" sz="1100" b="1" i="1" baseline="0"/>
            <a:t>1998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0.16079</cdr:x>
      <cdr:y>0.56774</cdr:y>
    </cdr:from>
    <cdr:to>
      <cdr:x>0.50415</cdr:x>
      <cdr:y>0.60645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52800"/>
          <a:ext cx="3152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2,096</a:t>
          </a:r>
          <a:r>
            <a:rPr lang="en-US" sz="1100" i="1"/>
            <a:t> - Average Year Built </a:t>
          </a:r>
          <a:r>
            <a:rPr lang="en-US" sz="1100" b="1" i="1"/>
            <a:t>1991</a:t>
          </a:r>
        </a:p>
      </cdr:txBody>
    </cdr:sp>
  </cdr:relSizeAnchor>
  <cdr:relSizeAnchor xmlns:cdr="http://schemas.openxmlformats.org/drawingml/2006/chartDrawing">
    <cdr:from>
      <cdr:x>0.16079</cdr:x>
      <cdr:y>0.62903</cdr:y>
    </cdr:from>
    <cdr:to>
      <cdr:x>0.52905</cdr:x>
      <cdr:y>0.67258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14750"/>
          <a:ext cx="3381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1,742 </a:t>
          </a:r>
          <a:r>
            <a:rPr lang="en-US" sz="1100" i="1" baseline="0"/>
            <a:t>- Average Year Built </a:t>
          </a:r>
          <a:r>
            <a:rPr lang="en-US" sz="1100" b="1" i="1" baseline="0"/>
            <a:t>1988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0.16183</cdr:x>
      <cdr:y>0.69032</cdr:y>
    </cdr:from>
    <cdr:to>
      <cdr:x>0.51556</cdr:x>
      <cdr:y>0.73387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076700"/>
          <a:ext cx="3248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1,606</a:t>
          </a:r>
          <a:r>
            <a:rPr lang="en-US" sz="1100" i="1"/>
            <a:t> - Average Year Built </a:t>
          </a:r>
          <a:r>
            <a:rPr lang="en-US" sz="1100" b="1" i="1"/>
            <a:t>1986</a:t>
          </a:r>
        </a:p>
      </cdr:txBody>
    </cdr:sp>
  </cdr:relSizeAnchor>
  <cdr:relSizeAnchor xmlns:cdr="http://schemas.openxmlformats.org/drawingml/2006/chartDrawing">
    <cdr:from>
      <cdr:x>0.16183</cdr:x>
      <cdr:y>0.75161</cdr:y>
    </cdr:from>
    <cdr:to>
      <cdr:x>0.50415</cdr:x>
      <cdr:y>0.79516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438650"/>
          <a:ext cx="3143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1,775</a:t>
          </a:r>
          <a:r>
            <a:rPr lang="en-US" sz="1100" i="1" baseline="0"/>
            <a:t> - Average Year Built </a:t>
          </a:r>
          <a:r>
            <a:rPr lang="en-US" sz="1100" b="1" i="1" baseline="0"/>
            <a:t>1982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0.15975</cdr:x>
      <cdr:y>0.81774</cdr:y>
    </cdr:from>
    <cdr:to>
      <cdr:x>0.55498</cdr:x>
      <cdr:y>0.85645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4829175"/>
          <a:ext cx="36290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1,737</a:t>
          </a:r>
          <a:r>
            <a:rPr lang="en-US" sz="1100" i="1"/>
            <a:t> - Average Year Built </a:t>
          </a:r>
          <a:r>
            <a:rPr lang="en-US" sz="1100" b="1" i="1"/>
            <a:t>1983</a:t>
          </a:r>
        </a:p>
      </cdr:txBody>
    </cdr:sp>
  </cdr:relSizeAnchor>
  <cdr:relSizeAnchor xmlns:cdr="http://schemas.openxmlformats.org/drawingml/2006/chartDrawing">
    <cdr:from>
      <cdr:x>0.16079</cdr:x>
      <cdr:y>0.87903</cdr:y>
    </cdr:from>
    <cdr:to>
      <cdr:x>0.56432</cdr:x>
      <cdr:y>0.93548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191125"/>
          <a:ext cx="37052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1,995</a:t>
          </a:r>
          <a:r>
            <a:rPr lang="en-US" sz="1100" i="1" baseline="0"/>
            <a:t> - Average Year Built </a:t>
          </a:r>
          <a:r>
            <a:rPr lang="en-US" sz="1100" b="1" i="1" baseline="0"/>
            <a:t>1984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2017-08-07T20:51:00Z</dcterms:created>
  <dcterms:modified xsi:type="dcterms:W3CDTF">2017-08-07T21:53:00Z</dcterms:modified>
</cp:coreProperties>
</file>